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B8" w:rsidRPr="001C44B8" w:rsidRDefault="001C44B8" w:rsidP="001C44B8">
      <w:pPr>
        <w:tabs>
          <w:tab w:val="left" w:pos="32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4B8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1C44B8" w:rsidRPr="001C44B8" w:rsidRDefault="001C44B8" w:rsidP="001C44B8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44B8">
        <w:rPr>
          <w:rFonts w:eastAsia="Calibri"/>
          <w:b/>
          <w:sz w:val="28"/>
          <w:szCs w:val="28"/>
          <w:lang w:eastAsia="en-US"/>
        </w:rPr>
        <w:t>ГОРОДСКОГО ПОСЕЛЕНИЯ «РАБОЧИЙ ПОСЕЛОК ЧЕГДОМЫН»</w:t>
      </w:r>
    </w:p>
    <w:p w:rsidR="001C44B8" w:rsidRPr="001C44B8" w:rsidRDefault="001C44B8" w:rsidP="001C44B8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1C44B8">
        <w:rPr>
          <w:rFonts w:eastAsia="Calibri"/>
          <w:b/>
          <w:sz w:val="28"/>
          <w:szCs w:val="28"/>
          <w:lang w:eastAsia="en-US"/>
        </w:rPr>
        <w:t>Верхнебуреинского</w:t>
      </w:r>
      <w:proofErr w:type="spellEnd"/>
      <w:r w:rsidRPr="001C44B8">
        <w:rPr>
          <w:rFonts w:eastAsia="Calibri"/>
          <w:b/>
          <w:sz w:val="28"/>
          <w:szCs w:val="28"/>
          <w:lang w:eastAsia="en-US"/>
        </w:rPr>
        <w:t xml:space="preserve"> муниципального района Хабаровского края</w:t>
      </w:r>
    </w:p>
    <w:p w:rsidR="001C44B8" w:rsidRPr="001C44B8" w:rsidRDefault="001C44B8" w:rsidP="001C44B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B4301" w:rsidRPr="001C44B8" w:rsidRDefault="001C44B8" w:rsidP="001C44B8">
      <w:pPr>
        <w:tabs>
          <w:tab w:val="left" w:pos="3735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C44B8">
        <w:rPr>
          <w:rFonts w:eastAsia="Calibri"/>
          <w:sz w:val="28"/>
          <w:szCs w:val="28"/>
          <w:lang w:eastAsia="en-US"/>
        </w:rPr>
        <w:tab/>
      </w:r>
      <w:r w:rsidRPr="001C44B8">
        <w:rPr>
          <w:rFonts w:eastAsia="Calibri"/>
          <w:b/>
          <w:sz w:val="28"/>
          <w:szCs w:val="28"/>
          <w:lang w:eastAsia="en-US"/>
        </w:rPr>
        <w:t>РЕШЕНИЕ</w:t>
      </w:r>
      <w:bookmarkStart w:id="0" w:name="_GoBack"/>
      <w:bookmarkEnd w:id="0"/>
    </w:p>
    <w:p w:rsidR="008B4301" w:rsidRDefault="008B4301" w:rsidP="00090886">
      <w:pPr>
        <w:rPr>
          <w:b/>
          <w:bCs/>
          <w:color w:val="000000" w:themeColor="text1"/>
          <w:sz w:val="28"/>
          <w:szCs w:val="28"/>
        </w:rPr>
      </w:pPr>
    </w:p>
    <w:p w:rsidR="008B4301" w:rsidRPr="001C44B8" w:rsidRDefault="001C44B8" w:rsidP="00090886">
      <w:pPr>
        <w:rPr>
          <w:bCs/>
          <w:color w:val="000000" w:themeColor="text1"/>
          <w:sz w:val="28"/>
          <w:szCs w:val="28"/>
        </w:rPr>
      </w:pPr>
      <w:r w:rsidRPr="001C44B8">
        <w:rPr>
          <w:bCs/>
          <w:color w:val="000000" w:themeColor="text1"/>
          <w:sz w:val="28"/>
          <w:szCs w:val="28"/>
        </w:rPr>
        <w:t>17.02.2022 № 339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8B4301" w:rsidRDefault="00090886" w:rsidP="008B4301">
      <w:pPr>
        <w:jc w:val="both"/>
        <w:rPr>
          <w:bCs/>
          <w:color w:val="000000" w:themeColor="text1"/>
          <w:sz w:val="28"/>
          <w:szCs w:val="28"/>
        </w:rPr>
      </w:pPr>
      <w:r w:rsidRPr="008B4301">
        <w:rPr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FA693B" w:rsidRPr="008B4301">
        <w:rPr>
          <w:bCs/>
          <w:color w:val="000000"/>
          <w:sz w:val="28"/>
          <w:szCs w:val="28"/>
        </w:rPr>
        <w:t>Совета депутатов городского поселения «Рабочий поселок Чегдомын»</w:t>
      </w:r>
      <w:r w:rsidR="001B42E3" w:rsidRPr="008B4301">
        <w:rPr>
          <w:bCs/>
          <w:color w:val="000000" w:themeColor="text1"/>
          <w:sz w:val="28"/>
          <w:szCs w:val="28"/>
        </w:rPr>
        <w:t xml:space="preserve"> </w:t>
      </w:r>
      <w:r w:rsidRPr="008B4301">
        <w:rPr>
          <w:bCs/>
          <w:color w:val="000000" w:themeColor="text1"/>
          <w:sz w:val="28"/>
          <w:szCs w:val="28"/>
        </w:rPr>
        <w:t xml:space="preserve">от </w:t>
      </w:r>
      <w:r w:rsidR="00FA693B" w:rsidRPr="008B4301">
        <w:rPr>
          <w:bCs/>
          <w:color w:val="000000" w:themeColor="text1"/>
          <w:sz w:val="28"/>
          <w:szCs w:val="28"/>
        </w:rPr>
        <w:t>27.01.2022 года</w:t>
      </w:r>
      <w:r w:rsidRPr="008B4301">
        <w:rPr>
          <w:bCs/>
          <w:color w:val="000000" w:themeColor="text1"/>
          <w:sz w:val="28"/>
          <w:szCs w:val="28"/>
        </w:rPr>
        <w:t xml:space="preserve"> № </w:t>
      </w:r>
      <w:r w:rsidR="00FA693B" w:rsidRPr="008B4301">
        <w:rPr>
          <w:bCs/>
          <w:color w:val="000000" w:themeColor="text1"/>
          <w:sz w:val="28"/>
          <w:szCs w:val="28"/>
        </w:rPr>
        <w:t>319</w:t>
      </w:r>
      <w:r w:rsidRPr="008B4301">
        <w:rPr>
          <w:bCs/>
          <w:color w:val="000000" w:themeColor="text1"/>
          <w:sz w:val="28"/>
          <w:szCs w:val="28"/>
        </w:rPr>
        <w:t xml:space="preserve"> «Об утверждении Положения о муниципальном </w:t>
      </w:r>
      <w:r w:rsidR="00962334" w:rsidRPr="008B4301">
        <w:rPr>
          <w:bCs/>
          <w:color w:val="000000" w:themeColor="text1"/>
          <w:sz w:val="28"/>
          <w:szCs w:val="28"/>
        </w:rPr>
        <w:t>лесном</w:t>
      </w:r>
      <w:r w:rsidRPr="008B4301">
        <w:rPr>
          <w:bCs/>
          <w:color w:val="000000" w:themeColor="text1"/>
          <w:sz w:val="28"/>
          <w:szCs w:val="28"/>
        </w:rPr>
        <w:t xml:space="preserve"> контроле в границах </w:t>
      </w:r>
      <w:r w:rsidR="00FA693B" w:rsidRPr="008B4301">
        <w:rPr>
          <w:bCs/>
          <w:color w:val="000000" w:themeColor="text1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Pr="008B4301">
        <w:rPr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8B4301" w:rsidRDefault="00090886" w:rsidP="008B4301">
      <w:pPr>
        <w:pStyle w:val="af3"/>
        <w:ind w:firstLine="708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A693B">
        <w:rPr>
          <w:color w:val="000000"/>
          <w:sz w:val="28"/>
          <w:szCs w:val="28"/>
        </w:rPr>
        <w:t>городского поселения «Рабочий посёлок Чегдомын» Верхнебуреинского муниципального района Хабаровского края</w:t>
      </w:r>
      <w:r w:rsidR="00FA693B" w:rsidRPr="00501A0D">
        <w:rPr>
          <w:color w:val="000000"/>
          <w:sz w:val="28"/>
          <w:szCs w:val="28"/>
        </w:rPr>
        <w:t xml:space="preserve">, Совет депутатов </w:t>
      </w:r>
      <w:r w:rsidR="00FA693B" w:rsidRPr="00831275">
        <w:rPr>
          <w:sz w:val="28"/>
          <w:szCs w:val="28"/>
        </w:rPr>
        <w:t>городского поселения «Рабочий посёлок Чегдомын» Верхнебуреинского муниципального района Хабаровского края</w:t>
      </w:r>
    </w:p>
    <w:p w:rsidR="008B4301" w:rsidRDefault="008B4301" w:rsidP="008B4301">
      <w:pPr>
        <w:pStyle w:val="af3"/>
        <w:jc w:val="both"/>
        <w:rPr>
          <w:sz w:val="28"/>
          <w:szCs w:val="28"/>
        </w:rPr>
      </w:pPr>
    </w:p>
    <w:p w:rsidR="001B42E3" w:rsidRPr="008B4301" w:rsidRDefault="001B42E3" w:rsidP="008B4301">
      <w:pPr>
        <w:pStyle w:val="af3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962334" w:rsidRPr="00FA693B" w:rsidRDefault="001B42E3" w:rsidP="00FA693B">
      <w:pPr>
        <w:pStyle w:val="af3"/>
        <w:ind w:firstLine="708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FA693B" w:rsidRPr="00FA693B">
        <w:rPr>
          <w:bCs/>
          <w:color w:val="000000"/>
          <w:sz w:val="28"/>
          <w:szCs w:val="28"/>
        </w:rPr>
        <w:t>Совета депутатов городского поселения «Рабочий поселок Чегдомын»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FA693B">
        <w:rPr>
          <w:color w:val="000000" w:themeColor="text1"/>
          <w:sz w:val="28"/>
          <w:szCs w:val="28"/>
        </w:rPr>
        <w:t>27.01.2022 года</w:t>
      </w:r>
      <w:r w:rsidR="00090886" w:rsidRPr="00555D09">
        <w:rPr>
          <w:color w:val="000000" w:themeColor="text1"/>
          <w:sz w:val="28"/>
          <w:szCs w:val="28"/>
        </w:rPr>
        <w:t xml:space="preserve"> № </w:t>
      </w:r>
      <w:r w:rsidR="00FA693B">
        <w:rPr>
          <w:color w:val="000000" w:themeColor="text1"/>
          <w:sz w:val="28"/>
          <w:szCs w:val="28"/>
        </w:rPr>
        <w:t>319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</w:t>
      </w:r>
      <w:r w:rsidR="00962334">
        <w:rPr>
          <w:color w:val="000000" w:themeColor="text1"/>
          <w:sz w:val="28"/>
          <w:szCs w:val="28"/>
        </w:rPr>
        <w:t>лесном</w:t>
      </w:r>
      <w:r w:rsidR="00090886" w:rsidRPr="00555D09">
        <w:rPr>
          <w:color w:val="000000" w:themeColor="text1"/>
          <w:sz w:val="28"/>
          <w:szCs w:val="28"/>
        </w:rPr>
        <w:t xml:space="preserve"> контроле в границах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FA693B" w:rsidRPr="00831275">
        <w:rPr>
          <w:sz w:val="28"/>
          <w:szCs w:val="28"/>
        </w:rPr>
        <w:t>городского поселения «Рабочий посёлок Чегдомын» Верхнебуреинского муниципального района Хабаровского края</w:t>
      </w:r>
      <w:r w:rsidR="00090886"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:rsidR="0000240A" w:rsidRPr="00FA693B" w:rsidRDefault="0000240A" w:rsidP="00FA693B">
      <w:pPr>
        <w:pStyle w:val="af3"/>
        <w:ind w:firstLine="708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962334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962334">
        <w:rPr>
          <w:rFonts w:eastAsiaTheme="minorHAnsi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</w:t>
      </w:r>
      <w:r w:rsidR="00962334">
        <w:rPr>
          <w:color w:val="000000" w:themeColor="text1"/>
          <w:sz w:val="28"/>
          <w:szCs w:val="28"/>
        </w:rPr>
        <w:t>лесном</w:t>
      </w:r>
      <w:r w:rsidRPr="00555D09">
        <w:rPr>
          <w:color w:val="000000" w:themeColor="text1"/>
          <w:sz w:val="28"/>
          <w:szCs w:val="28"/>
        </w:rPr>
        <w:t xml:space="preserve"> контрол</w:t>
      </w:r>
      <w:r w:rsidR="00962334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в границах </w:t>
      </w:r>
      <w:r w:rsidR="00FA693B" w:rsidRPr="00831275">
        <w:rPr>
          <w:sz w:val="28"/>
          <w:szCs w:val="28"/>
        </w:rPr>
        <w:t>городского поселения «Рабочий посёлок Чегдомын» Верхнебуреинского муниципального района Хабаровского края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23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62334">
        <w:rPr>
          <w:rFonts w:ascii="Times New Roman" w:hAnsi="Times New Roman" w:cs="Times New Roman"/>
          <w:color w:val="000000" w:themeColor="text1"/>
          <w:sz w:val="28"/>
          <w:szCs w:val="28"/>
        </w:rPr>
        <w:t>лесного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0E72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C24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40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0E724B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</w:t>
      </w:r>
      <w:r w:rsidR="00962334">
        <w:rPr>
          <w:color w:val="000000" w:themeColor="text1"/>
          <w:sz w:val="28"/>
          <w:szCs w:val="28"/>
        </w:rPr>
        <w:br/>
      </w:r>
      <w:r w:rsidR="00354979" w:rsidRPr="00555D09">
        <w:rPr>
          <w:color w:val="000000" w:themeColor="text1"/>
          <w:sz w:val="28"/>
          <w:szCs w:val="28"/>
        </w:rPr>
        <w:t xml:space="preserve">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962334">
        <w:rPr>
          <w:color w:val="000000" w:themeColor="text1"/>
          <w:sz w:val="28"/>
          <w:szCs w:val="28"/>
        </w:rPr>
        <w:t>с 1 марта 2022 года.</w:t>
      </w:r>
    </w:p>
    <w:p w:rsidR="008B4301" w:rsidRPr="00555D09" w:rsidRDefault="008B4301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2E3" w:rsidRPr="00700821" w:rsidRDefault="001B42E3" w:rsidP="00FA693B">
      <w:pPr>
        <w:tabs>
          <w:tab w:val="left" w:pos="1000"/>
          <w:tab w:val="left" w:pos="2552"/>
          <w:tab w:val="left" w:pos="7789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FA693B">
        <w:rPr>
          <w:sz w:val="28"/>
          <w:szCs w:val="28"/>
        </w:rPr>
        <w:t xml:space="preserve">Совета депутатов                 </w:t>
      </w:r>
      <w:r w:rsidR="008B4301">
        <w:rPr>
          <w:sz w:val="28"/>
          <w:szCs w:val="28"/>
        </w:rPr>
        <w:t xml:space="preserve">                             </w:t>
      </w:r>
      <w:r w:rsidR="00FA693B">
        <w:rPr>
          <w:sz w:val="28"/>
          <w:szCs w:val="28"/>
        </w:rPr>
        <w:t xml:space="preserve"> О.Ю.Харламов</w:t>
      </w:r>
    </w:p>
    <w:p w:rsidR="001B42E3" w:rsidRDefault="001B42E3" w:rsidP="001B42E3">
      <w:pPr>
        <w:rPr>
          <w:sz w:val="28"/>
          <w:szCs w:val="28"/>
        </w:rPr>
      </w:pPr>
    </w:p>
    <w:p w:rsidR="008B4301" w:rsidRPr="00700821" w:rsidRDefault="008B4301" w:rsidP="001B42E3">
      <w:pPr>
        <w:rPr>
          <w:sz w:val="28"/>
          <w:szCs w:val="28"/>
        </w:rPr>
      </w:pPr>
    </w:p>
    <w:p w:rsidR="001B42E3" w:rsidRPr="00700821" w:rsidRDefault="001B42E3" w:rsidP="001B42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54979" w:rsidRPr="00555D09" w:rsidRDefault="001B42E3" w:rsidP="00FA693B">
      <w:pPr>
        <w:tabs>
          <w:tab w:val="left" w:pos="7626"/>
        </w:tabs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="00FA693B">
        <w:rPr>
          <w:b/>
          <w:bCs/>
          <w:color w:val="000000"/>
          <w:sz w:val="28"/>
          <w:szCs w:val="28"/>
        </w:rPr>
        <w:t xml:space="preserve"> </w:t>
      </w:r>
      <w:r w:rsidR="00FA693B" w:rsidRPr="00FA693B">
        <w:rPr>
          <w:bCs/>
          <w:color w:val="000000"/>
          <w:sz w:val="28"/>
          <w:szCs w:val="28"/>
        </w:rPr>
        <w:t>городского поселения</w:t>
      </w:r>
      <w:r w:rsidR="00A662CF">
        <w:rPr>
          <w:bCs/>
          <w:color w:val="000000"/>
          <w:sz w:val="28"/>
          <w:szCs w:val="28"/>
        </w:rPr>
        <w:t xml:space="preserve">                                                         </w:t>
      </w:r>
      <w:r w:rsidR="00FA693B">
        <w:rPr>
          <w:bCs/>
          <w:color w:val="000000"/>
          <w:sz w:val="28"/>
          <w:szCs w:val="28"/>
        </w:rPr>
        <w:t>В.Г.</w:t>
      </w:r>
      <w:r w:rsidR="00A662CF">
        <w:rPr>
          <w:bCs/>
          <w:color w:val="000000"/>
          <w:sz w:val="28"/>
          <w:szCs w:val="28"/>
        </w:rPr>
        <w:t>Ферапонтов</w:t>
      </w:r>
    </w:p>
    <w:p w:rsidR="00354979" w:rsidRPr="00555D09" w:rsidRDefault="00354979" w:rsidP="008B4301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Pr="0068392D" w:rsidRDefault="00354979" w:rsidP="008B4301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68392D" w:rsidRPr="0068392D">
        <w:rPr>
          <w:bCs/>
          <w:color w:val="000000"/>
        </w:rPr>
        <w:t>Совета депутатов городского поселения «Рабочий поселок Чегдомын»</w:t>
      </w:r>
    </w:p>
    <w:p w:rsidR="00354979" w:rsidRPr="00555D09" w:rsidRDefault="00D91E38" w:rsidP="008B430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«17» февраля</w:t>
      </w:r>
      <w:r w:rsidR="00354979" w:rsidRPr="00555D09">
        <w:rPr>
          <w:color w:val="000000" w:themeColor="text1"/>
        </w:rPr>
        <w:t xml:space="preserve"> 202</w:t>
      </w:r>
      <w:r w:rsidR="0098148B">
        <w:rPr>
          <w:color w:val="000000" w:themeColor="text1"/>
        </w:rPr>
        <w:t>2</w:t>
      </w:r>
      <w:r>
        <w:rPr>
          <w:color w:val="000000" w:themeColor="text1"/>
        </w:rPr>
        <w:t>г   № 339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0E72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="00807174">
        <w:rPr>
          <w:rFonts w:ascii="Times New Roman" w:hAnsi="Times New Roman" w:cs="Times New Roman"/>
          <w:color w:val="000000" w:themeColor="text1"/>
          <w:sz w:val="24"/>
          <w:szCs w:val="24"/>
        </w:rPr>
        <w:t>ожению о муниципальном лесном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68392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муниципального </w:t>
      </w:r>
      <w:r w:rsidR="00807174">
        <w:rPr>
          <w:color w:val="000000" w:themeColor="text1"/>
          <w:sz w:val="28"/>
          <w:szCs w:val="28"/>
        </w:rPr>
        <w:t>лесного</w:t>
      </w:r>
      <w:r w:rsidRPr="00555D09">
        <w:rPr>
          <w:color w:val="000000" w:themeColor="text1"/>
          <w:sz w:val="28"/>
          <w:szCs w:val="28"/>
        </w:rPr>
        <w:t xml:space="preserve">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825"/>
        <w:gridCol w:w="1123"/>
        <w:gridCol w:w="3352"/>
        <w:gridCol w:w="1631"/>
        <w:gridCol w:w="1568"/>
      </w:tblGrid>
      <w:tr w:rsidR="00555D09" w:rsidRPr="00555D09" w:rsidTr="00C24011">
        <w:tc>
          <w:tcPr>
            <w:tcW w:w="1283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31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C24011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24011">
        <w:tc>
          <w:tcPr>
            <w:tcW w:w="128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499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25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подконтрольном лесном участке</w:t>
            </w:r>
          </w:p>
        </w:tc>
        <w:tc>
          <w:tcPr>
            <w:tcW w:w="1123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AE0EC2" w:rsidRPr="00C24011" w:rsidRDefault="005F702E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E0EC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подконтрольном </w:t>
            </w:r>
            <w:r w:rsidR="00C51DB6">
              <w:rPr>
                <w:sz w:val="20"/>
                <w:szCs w:val="20"/>
              </w:rPr>
              <w:t>лесном участке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AA5BD4"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="00AA5BD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sz w:val="20"/>
                <w:szCs w:val="20"/>
              </w:rPr>
              <w:t xml:space="preserve"> лесного участка,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proofErr w:type="spellEnd"/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AA5BD4">
              <w:rPr>
                <w:sz w:val="20"/>
                <w:szCs w:val="20"/>
              </w:rPr>
              <w:t>лесного участка</w:t>
            </w:r>
            <w:r>
              <w:rPr>
                <w:sz w:val="20"/>
                <w:szCs w:val="20"/>
              </w:rPr>
              <w:t>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 w:rsidR="00AA5BD4">
              <w:rPr>
                <w:sz w:val="20"/>
                <w:szCs w:val="20"/>
              </w:rPr>
              <w:t>лесного участка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AA5BD4">
              <w:rPr>
                <w:color w:val="000000" w:themeColor="text1"/>
                <w:sz w:val="20"/>
                <w:szCs w:val="20"/>
              </w:rPr>
              <w:t>лу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A5BD4">
              <w:rPr>
                <w:sz w:val="20"/>
                <w:szCs w:val="20"/>
              </w:rPr>
              <w:t>лесного участка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AA5BD4"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А.3</w:t>
            </w:r>
          </w:p>
        </w:tc>
        <w:tc>
          <w:tcPr>
            <w:tcW w:w="1825" w:type="dxa"/>
            <w:shd w:val="clear" w:color="auto" w:fill="FFFFFF"/>
          </w:tcPr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неучтенного </w:t>
            </w:r>
            <w:r w:rsidRPr="007F0689">
              <w:rPr>
                <w:sz w:val="20"/>
                <w:szCs w:val="20"/>
              </w:rPr>
              <w:t xml:space="preserve">объема проводимых операций в сфере приемки, перевозки, переработки и хранения древесины, учета </w:t>
            </w:r>
            <w:r w:rsidRPr="007F0689">
              <w:rPr>
                <w:sz w:val="20"/>
                <w:szCs w:val="20"/>
              </w:rPr>
              <w:lastRenderedPageBreak/>
              <w:t xml:space="preserve">древесины и сделок с ней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 xml:space="preserve">3 = 100% 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ОПОф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./</w:t>
            </w:r>
          </w:p>
          <w:p w:rsidR="00AE0EC2" w:rsidRPr="00AA17F1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ОПОуч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– 100%</w:t>
            </w:r>
          </w:p>
        </w:tc>
        <w:tc>
          <w:tcPr>
            <w:tcW w:w="3352" w:type="dxa"/>
            <w:shd w:val="clear" w:color="auto" w:fill="FFFFFF"/>
          </w:tcPr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А.3 –</w:t>
            </w:r>
            <w:r w:rsidRPr="007F0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динамика неучтенного </w:t>
            </w:r>
            <w:r w:rsidRPr="007F0689">
              <w:rPr>
                <w:sz w:val="20"/>
                <w:szCs w:val="20"/>
              </w:rPr>
              <w:t>объема (</w:t>
            </w:r>
            <w:r>
              <w:rPr>
                <w:sz w:val="20"/>
                <w:szCs w:val="20"/>
              </w:rPr>
              <w:t xml:space="preserve">в </w:t>
            </w:r>
            <w:r w:rsidRPr="007F0689">
              <w:rPr>
                <w:sz w:val="20"/>
                <w:szCs w:val="20"/>
              </w:rPr>
              <w:t xml:space="preserve">куб. м) проводимых операций в сфере приемки, перевозки, переработки и хранения древесины, учета древесины и сделок с ней </w:t>
            </w:r>
            <w:r>
              <w:rPr>
                <w:sz w:val="20"/>
                <w:szCs w:val="20"/>
              </w:rPr>
              <w:t>в течение отчетного года</w:t>
            </w:r>
            <w:r w:rsidRPr="007F0689">
              <w:rPr>
                <w:sz w:val="20"/>
                <w:szCs w:val="20"/>
              </w:rPr>
              <w:t xml:space="preserve"> </w:t>
            </w:r>
          </w:p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ОПОф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Pr="007F0689">
              <w:rPr>
                <w:sz w:val="20"/>
                <w:szCs w:val="20"/>
              </w:rPr>
              <w:t>объем (</w:t>
            </w:r>
            <w:r>
              <w:rPr>
                <w:sz w:val="20"/>
                <w:szCs w:val="20"/>
              </w:rPr>
              <w:t xml:space="preserve">в </w:t>
            </w:r>
            <w:r w:rsidRPr="007F0689">
              <w:rPr>
                <w:sz w:val="20"/>
                <w:szCs w:val="20"/>
              </w:rPr>
              <w:t xml:space="preserve">куб. м) </w:t>
            </w:r>
            <w:r>
              <w:rPr>
                <w:sz w:val="20"/>
                <w:szCs w:val="20"/>
              </w:rPr>
              <w:t xml:space="preserve">фактически </w:t>
            </w:r>
            <w:r w:rsidRPr="007F0689">
              <w:rPr>
                <w:sz w:val="20"/>
                <w:szCs w:val="20"/>
              </w:rPr>
              <w:lastRenderedPageBreak/>
              <w:t xml:space="preserve">проводимых операций в сфере приемки, перевозки, переработки и хранения древесины, учета древесины и сделок с ней </w:t>
            </w:r>
            <w:r>
              <w:rPr>
                <w:sz w:val="20"/>
                <w:szCs w:val="20"/>
              </w:rPr>
              <w:t>в течение отчетного года</w:t>
            </w:r>
            <w:r w:rsidRPr="007F0689">
              <w:rPr>
                <w:sz w:val="20"/>
                <w:szCs w:val="20"/>
              </w:rPr>
              <w:t xml:space="preserve"> </w:t>
            </w:r>
          </w:p>
          <w:p w:rsidR="00AE0EC2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0EC2" w:rsidRPr="007F0689" w:rsidRDefault="00AE0EC2" w:rsidP="00AE0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ОПОуч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Pr="007F0689">
              <w:rPr>
                <w:sz w:val="20"/>
                <w:szCs w:val="20"/>
              </w:rPr>
              <w:t>объем (</w:t>
            </w:r>
            <w:r>
              <w:rPr>
                <w:sz w:val="20"/>
                <w:szCs w:val="20"/>
              </w:rPr>
              <w:t xml:space="preserve">в </w:t>
            </w:r>
            <w:r w:rsidRPr="007F0689">
              <w:rPr>
                <w:sz w:val="20"/>
                <w:szCs w:val="20"/>
              </w:rPr>
              <w:t xml:space="preserve">куб. м) проводимых операций в сфере приемки, перевозки, переработки и хранения древесины, учета древесины и сделок с ней </w:t>
            </w:r>
            <w:r>
              <w:rPr>
                <w:sz w:val="20"/>
                <w:szCs w:val="20"/>
              </w:rPr>
              <w:t xml:space="preserve">в течение отчетного года </w:t>
            </w:r>
            <w:r w:rsidRPr="007F0689">
              <w:rPr>
                <w:sz w:val="20"/>
                <w:szCs w:val="20"/>
              </w:rPr>
              <w:t>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</w:t>
            </w:r>
          </w:p>
          <w:p w:rsidR="00AE0EC2" w:rsidRPr="00555D09" w:rsidRDefault="00AE0EC2" w:rsidP="00AE0EC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1%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68" w:type="dxa"/>
            <w:shd w:val="clear" w:color="auto" w:fill="FFFFFF"/>
          </w:tcPr>
          <w:p w:rsidR="00AE0EC2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</w:t>
            </w:r>
            <w:r>
              <w:rPr>
                <w:color w:val="000000" w:themeColor="text1"/>
                <w:sz w:val="20"/>
                <w:szCs w:val="20"/>
              </w:rPr>
              <w:t>тного года,</w:t>
            </w:r>
            <w:r w:rsidRPr="007F0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данные </w:t>
            </w:r>
            <w:r w:rsidRPr="007F0689">
              <w:rPr>
                <w:sz w:val="20"/>
                <w:szCs w:val="20"/>
              </w:rPr>
              <w:t xml:space="preserve">учета древесины и </w:t>
            </w:r>
            <w:r w:rsidRPr="007F0689">
              <w:rPr>
                <w:sz w:val="20"/>
                <w:szCs w:val="20"/>
              </w:rPr>
              <w:lastRenderedPageBreak/>
              <w:t xml:space="preserve">сделок с ней </w:t>
            </w:r>
            <w:r>
              <w:rPr>
                <w:sz w:val="20"/>
                <w:szCs w:val="20"/>
              </w:rPr>
              <w:t xml:space="preserve">в течение отчетного года </w:t>
            </w:r>
            <w:r w:rsidRPr="007F0689">
              <w:rPr>
                <w:sz w:val="20"/>
                <w:szCs w:val="20"/>
              </w:rPr>
              <w:t>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</w:t>
            </w:r>
          </w:p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0EC2" w:rsidRPr="00555D09" w:rsidTr="00C24011">
        <w:tc>
          <w:tcPr>
            <w:tcW w:w="10782" w:type="dxa"/>
            <w:gridSpan w:val="6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AE0EC2" w:rsidRPr="00555D09" w:rsidTr="00C24011">
        <w:tc>
          <w:tcPr>
            <w:tcW w:w="1283" w:type="dxa"/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99" w:type="dxa"/>
            <w:gridSpan w:val="5"/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E20E14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внеплановых контрольных мероприятий, проведенных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плановых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лесной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E20E14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отклонения объекта контроля от таких параметров,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8A559B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964E2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Сумма 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административных штрафов, наложенных по результатам контрольных мероприятий,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lastRenderedPageBreak/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lastRenderedPageBreak/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3242BA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Общее количество учтенных объектов контроля на конец отчетного периода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учёта объектов контроля на конец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1336B8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учтенных контролируемых лиц на конец отчетного периода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учтенных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2C11F2">
              <w:rPr>
                <w:color w:val="000000" w:themeColor="text1"/>
                <w:sz w:val="20"/>
                <w:szCs w:val="20"/>
              </w:rPr>
              <w:t>учёта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жалоб, в 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lastRenderedPageBreak/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жалоб, в </w:t>
            </w:r>
            <w:r w:rsidRPr="002C11F2">
              <w:rPr>
                <w:color w:val="000000" w:themeColor="text1"/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жалоб, поданных контролируемыми лицами в досудебном порядке, по итогам </w:t>
            </w:r>
            <w:proofErr w:type="gramStart"/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рассмотрения</w:t>
            </w:r>
            <w:proofErr w:type="gramEnd"/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жалоб, поданных контролируемыми лицами в досудебном порядке, по итогам </w:t>
            </w:r>
            <w:proofErr w:type="gramStart"/>
            <w:r w:rsidRPr="002C11F2">
              <w:rPr>
                <w:color w:val="000000" w:themeColor="text1"/>
                <w:sz w:val="20"/>
                <w:szCs w:val="20"/>
              </w:rPr>
              <w:t>рассмотрения</w:t>
            </w:r>
            <w:proofErr w:type="gramEnd"/>
            <w:r w:rsidRPr="002C11F2">
              <w:rPr>
                <w:color w:val="000000" w:themeColor="text1"/>
                <w:sz w:val="20"/>
                <w:szCs w:val="20"/>
              </w:rPr>
      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82511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82511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82511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F702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Вариант 1</w:t>
            </w:r>
            <w:r w:rsidRPr="002C11F2">
              <w:rPr>
                <w:rStyle w:val="a6"/>
                <w:color w:val="000000" w:themeColor="text1"/>
                <w:sz w:val="20"/>
                <w:szCs w:val="20"/>
                <w:vertAlign w:val="baseline"/>
              </w:rPr>
              <w:footnoteReference w:id="1"/>
            </w:r>
          </w:p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лесного контроля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E0EC2" w:rsidRPr="002C11F2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C11F2">
              <w:rPr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 Вариант 2</w:t>
            </w:r>
            <w:r w:rsidRPr="002C11F2">
              <w:rPr>
                <w:rStyle w:val="a6"/>
                <w:color w:val="000000" w:themeColor="text1"/>
                <w:sz w:val="20"/>
                <w:szCs w:val="20"/>
                <w:vertAlign w:val="baseline"/>
              </w:rPr>
              <w:footnoteReference w:id="2"/>
            </w:r>
          </w:p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Доля затрат времени на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лесной контроль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лесного контроля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</w:t>
            </w:r>
            <w:r>
              <w:rPr>
                <w:color w:val="000000" w:themeColor="text1"/>
                <w:sz w:val="20"/>
                <w:szCs w:val="20"/>
              </w:rPr>
              <w:t>лесному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C11F2">
              <w:rPr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муниципального лесного контроля</w:t>
            </w:r>
            <w:r w:rsidRPr="002C11F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C11F2">
              <w:rPr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лесной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E0EC2" w:rsidRPr="002C11F2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C11F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2C11F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2C11F2">
              <w:rPr>
                <w:color w:val="000000" w:themeColor="text1"/>
                <w:sz w:val="20"/>
                <w:szCs w:val="20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</w:rPr>
              <w:t>муниципальный лесной контроль</w:t>
            </w:r>
            <w:r w:rsidRPr="002C11F2">
              <w:rPr>
                <w:color w:val="000000" w:themeColor="text1"/>
                <w:sz w:val="20"/>
                <w:szCs w:val="20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лесного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лесного контроля трудовых ресурсов</w:t>
            </w:r>
          </w:p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C51DB6">
              <w:rPr>
                <w:color w:val="000000" w:themeColor="text1"/>
                <w:sz w:val="20"/>
                <w:szCs w:val="20"/>
              </w:rPr>
              <w:t>(</w:t>
            </w:r>
            <w:r w:rsidRPr="00C24011">
              <w:rPr>
                <w:color w:val="000000" w:themeColor="text1"/>
                <w:sz w:val="20"/>
                <w:szCs w:val="20"/>
              </w:rPr>
              <w:t>А.1 + А.2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 + А.3)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годами.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Показатель А.</w:t>
            </w:r>
            <w:r w:rsidR="00C51DB6">
              <w:rPr>
                <w:color w:val="000000" w:themeColor="text1"/>
                <w:sz w:val="20"/>
                <w:szCs w:val="20"/>
              </w:rPr>
              <w:t>3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4011">
              <w:rPr>
                <w:sz w:val="20"/>
                <w:szCs w:val="20"/>
              </w:rPr>
              <w:t>используется в расчете показателя Б.</w:t>
            </w:r>
            <w:r>
              <w:rPr>
                <w:sz w:val="20"/>
                <w:szCs w:val="20"/>
              </w:rPr>
              <w:t>24</w:t>
            </w:r>
            <w:r w:rsidRPr="00C24011">
              <w:rPr>
                <w:sz w:val="20"/>
                <w:szCs w:val="20"/>
              </w:rPr>
              <w:t xml:space="preserve"> лишь в случае, если А.</w:t>
            </w:r>
            <w:r w:rsidR="00C51DB6"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положительное значение. 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sz w:val="20"/>
                <w:szCs w:val="20"/>
              </w:rPr>
              <w:t>Если А.</w:t>
            </w:r>
            <w:r w:rsidR="00C51DB6"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отрицательное значение, то применяется формула: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C51DB6">
              <w:rPr>
                <w:color w:val="000000" w:themeColor="text1"/>
                <w:sz w:val="20"/>
                <w:szCs w:val="20"/>
              </w:rPr>
              <w:t>(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E0EC2" w:rsidRPr="00555D09" w:rsidTr="002C11F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EC2" w:rsidRPr="00555D09" w:rsidRDefault="00AE0EC2" w:rsidP="00AE0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лесного контроля в год</w:t>
            </w:r>
          </w:p>
          <w:p w:rsidR="00AE0EC2" w:rsidRPr="00555D09" w:rsidRDefault="00AE0EC2" w:rsidP="00AE0EC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C51DB6">
              <w:rPr>
                <w:color w:val="000000" w:themeColor="text1"/>
                <w:sz w:val="20"/>
                <w:szCs w:val="20"/>
              </w:rPr>
              <w:t>(</w:t>
            </w:r>
            <w:r w:rsidR="00C51DB6" w:rsidRPr="00C24011">
              <w:rPr>
                <w:color w:val="000000" w:themeColor="text1"/>
                <w:sz w:val="20"/>
                <w:szCs w:val="20"/>
              </w:rPr>
              <w:t>А.1 + А.2</w:t>
            </w:r>
            <w:r w:rsidR="00C51DB6">
              <w:rPr>
                <w:color w:val="000000" w:themeColor="text1"/>
                <w:sz w:val="20"/>
                <w:szCs w:val="20"/>
              </w:rPr>
              <w:t xml:space="preserve"> + А.3)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  <w:p w:rsidR="00AE0EC2" w:rsidRPr="00C24011" w:rsidRDefault="00AE0EC2" w:rsidP="00AE0EC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Показатель А.</w:t>
            </w:r>
            <w:r w:rsidR="00C51DB6">
              <w:rPr>
                <w:color w:val="000000" w:themeColor="text1"/>
                <w:sz w:val="20"/>
                <w:szCs w:val="20"/>
              </w:rPr>
              <w:t>3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4011">
              <w:rPr>
                <w:sz w:val="20"/>
                <w:szCs w:val="20"/>
              </w:rPr>
              <w:t>используется в расчете показателя Б.</w:t>
            </w:r>
            <w:r>
              <w:rPr>
                <w:sz w:val="20"/>
                <w:szCs w:val="20"/>
              </w:rPr>
              <w:t>25</w:t>
            </w:r>
            <w:r w:rsidRPr="00C24011">
              <w:rPr>
                <w:sz w:val="20"/>
                <w:szCs w:val="20"/>
              </w:rPr>
              <w:t xml:space="preserve"> лишь в случае, если А.</w:t>
            </w:r>
            <w:r w:rsidR="00C51DB6"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положительное значение. </w:t>
            </w:r>
          </w:p>
          <w:p w:rsidR="00C51DB6" w:rsidRPr="00C24011" w:rsidRDefault="00C51DB6" w:rsidP="00C51DB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24011">
              <w:rPr>
                <w:sz w:val="20"/>
                <w:szCs w:val="20"/>
              </w:rPr>
              <w:t>Если А.</w:t>
            </w:r>
            <w:r>
              <w:rPr>
                <w:sz w:val="20"/>
                <w:szCs w:val="20"/>
              </w:rPr>
              <w:t>3</w:t>
            </w:r>
            <w:r w:rsidRPr="00C24011">
              <w:rPr>
                <w:sz w:val="20"/>
                <w:szCs w:val="20"/>
              </w:rPr>
              <w:t xml:space="preserve"> имеет отрицательное значение, то применяется формула:</w:t>
            </w:r>
          </w:p>
          <w:p w:rsidR="00AE0EC2" w:rsidRPr="00555D09" w:rsidRDefault="00C51DB6" w:rsidP="00C51DB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4011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C24011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C24011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2" w:rsidRPr="00555D09" w:rsidRDefault="00AE0EC2" w:rsidP="00AE0EC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F45D28" w:rsidRDefault="00F45D2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45D28" w:rsidRPr="00700821" w:rsidRDefault="00F45D28" w:rsidP="00F45D2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F45D28" w:rsidRDefault="00F45D28" w:rsidP="00F45D28">
      <w:pPr>
        <w:rPr>
          <w:color w:val="000000" w:themeColor="text1"/>
        </w:rPr>
      </w:pP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555D09">
        <w:rPr>
          <w:color w:val="000000" w:themeColor="text1"/>
          <w:sz w:val="28"/>
          <w:szCs w:val="28"/>
        </w:rPr>
        <w:t xml:space="preserve">муниципальном </w:t>
      </w:r>
      <w:r>
        <w:rPr>
          <w:color w:val="000000" w:themeColor="text1"/>
          <w:sz w:val="28"/>
          <w:szCs w:val="28"/>
        </w:rPr>
        <w:t>лесном</w:t>
      </w:r>
      <w:r w:rsidRPr="00555D09">
        <w:rPr>
          <w:color w:val="000000" w:themeColor="text1"/>
          <w:sz w:val="28"/>
          <w:szCs w:val="28"/>
        </w:rPr>
        <w:t xml:space="preserve"> 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F45D28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F45D28" w:rsidRDefault="00F45D28" w:rsidP="00F45D28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F45D28" w:rsidRPr="00E60380" w:rsidRDefault="00F45D28" w:rsidP="00F45D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555D09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>го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лесного</w:t>
      </w:r>
      <w:r w:rsidRPr="00555D09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ED" w:rsidRDefault="00C237ED" w:rsidP="00165F1F">
      <w:r>
        <w:separator/>
      </w:r>
    </w:p>
  </w:endnote>
  <w:endnote w:type="continuationSeparator" w:id="0">
    <w:p w:rsidR="00C237ED" w:rsidRDefault="00C237E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ED" w:rsidRDefault="00C237ED" w:rsidP="00165F1F">
      <w:r>
        <w:separator/>
      </w:r>
    </w:p>
  </w:footnote>
  <w:footnote w:type="continuationSeparator" w:id="0">
    <w:p w:rsidR="00C237ED" w:rsidRDefault="00C237ED" w:rsidP="00165F1F">
      <w:r>
        <w:continuationSeparator/>
      </w:r>
    </w:p>
  </w:footnote>
  <w:footnote w:id="1">
    <w:p w:rsidR="00AE0EC2" w:rsidRDefault="00AE0EC2" w:rsidP="002C11F2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лесного контроля.</w:t>
      </w:r>
    </w:p>
  </w:footnote>
  <w:footnote w:id="2">
    <w:p w:rsidR="00AE0EC2" w:rsidRDefault="00AE0EC2" w:rsidP="002C11F2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лесного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F702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3374E"/>
    <w:rsid w:val="000341D6"/>
    <w:rsid w:val="00064CE7"/>
    <w:rsid w:val="000757A5"/>
    <w:rsid w:val="00081AC1"/>
    <w:rsid w:val="00090886"/>
    <w:rsid w:val="00091A27"/>
    <w:rsid w:val="000B1027"/>
    <w:rsid w:val="000C5A28"/>
    <w:rsid w:val="000C6CB4"/>
    <w:rsid w:val="000D44BA"/>
    <w:rsid w:val="000E7090"/>
    <w:rsid w:val="000E724B"/>
    <w:rsid w:val="000E789D"/>
    <w:rsid w:val="000F0E8F"/>
    <w:rsid w:val="00107909"/>
    <w:rsid w:val="001143F3"/>
    <w:rsid w:val="00124B66"/>
    <w:rsid w:val="001421D8"/>
    <w:rsid w:val="00146923"/>
    <w:rsid w:val="00165F1F"/>
    <w:rsid w:val="00181535"/>
    <w:rsid w:val="00186D50"/>
    <w:rsid w:val="00191694"/>
    <w:rsid w:val="001B42E3"/>
    <w:rsid w:val="001C44B8"/>
    <w:rsid w:val="001E52E9"/>
    <w:rsid w:val="001E738D"/>
    <w:rsid w:val="00216FDA"/>
    <w:rsid w:val="00274093"/>
    <w:rsid w:val="002B2AD2"/>
    <w:rsid w:val="002B79C9"/>
    <w:rsid w:val="002C11F2"/>
    <w:rsid w:val="002D2EF9"/>
    <w:rsid w:val="002D3F6B"/>
    <w:rsid w:val="002F142A"/>
    <w:rsid w:val="003008C1"/>
    <w:rsid w:val="00305F5C"/>
    <w:rsid w:val="00354979"/>
    <w:rsid w:val="003653BF"/>
    <w:rsid w:val="003669CD"/>
    <w:rsid w:val="003A6982"/>
    <w:rsid w:val="003B3F44"/>
    <w:rsid w:val="003E3508"/>
    <w:rsid w:val="00407D0A"/>
    <w:rsid w:val="00430EB5"/>
    <w:rsid w:val="0047105B"/>
    <w:rsid w:val="004726E3"/>
    <w:rsid w:val="004B51E1"/>
    <w:rsid w:val="004B63D5"/>
    <w:rsid w:val="004B7F20"/>
    <w:rsid w:val="004C5DCB"/>
    <w:rsid w:val="005163C7"/>
    <w:rsid w:val="00555D09"/>
    <w:rsid w:val="00563C1F"/>
    <w:rsid w:val="0058100A"/>
    <w:rsid w:val="00582516"/>
    <w:rsid w:val="005B3716"/>
    <w:rsid w:val="005F702E"/>
    <w:rsid w:val="00622960"/>
    <w:rsid w:val="006258DE"/>
    <w:rsid w:val="006416D7"/>
    <w:rsid w:val="006660B7"/>
    <w:rsid w:val="0068392D"/>
    <w:rsid w:val="006E1A57"/>
    <w:rsid w:val="00701A7F"/>
    <w:rsid w:val="00731FEB"/>
    <w:rsid w:val="00734E37"/>
    <w:rsid w:val="00797B53"/>
    <w:rsid w:val="007C7D37"/>
    <w:rsid w:val="007D5E00"/>
    <w:rsid w:val="007D6FF2"/>
    <w:rsid w:val="007E23E7"/>
    <w:rsid w:val="007F0689"/>
    <w:rsid w:val="00807174"/>
    <w:rsid w:val="00836BD7"/>
    <w:rsid w:val="0083759D"/>
    <w:rsid w:val="00876218"/>
    <w:rsid w:val="00884CA8"/>
    <w:rsid w:val="008B4301"/>
    <w:rsid w:val="008C2FD3"/>
    <w:rsid w:val="008D5B90"/>
    <w:rsid w:val="008E6EC4"/>
    <w:rsid w:val="008F4D6A"/>
    <w:rsid w:val="009310C2"/>
    <w:rsid w:val="00945B02"/>
    <w:rsid w:val="00962334"/>
    <w:rsid w:val="0098148B"/>
    <w:rsid w:val="0099719A"/>
    <w:rsid w:val="009A3FE0"/>
    <w:rsid w:val="009C058B"/>
    <w:rsid w:val="009E008A"/>
    <w:rsid w:val="009F3B7E"/>
    <w:rsid w:val="009F5BEC"/>
    <w:rsid w:val="00A17B9B"/>
    <w:rsid w:val="00A32C16"/>
    <w:rsid w:val="00A4135A"/>
    <w:rsid w:val="00A47039"/>
    <w:rsid w:val="00A662CF"/>
    <w:rsid w:val="00A9140F"/>
    <w:rsid w:val="00A9335F"/>
    <w:rsid w:val="00AA17F1"/>
    <w:rsid w:val="00AA5BD4"/>
    <w:rsid w:val="00AD2838"/>
    <w:rsid w:val="00AE0EC2"/>
    <w:rsid w:val="00B10CD4"/>
    <w:rsid w:val="00B13661"/>
    <w:rsid w:val="00B45C8F"/>
    <w:rsid w:val="00B53044"/>
    <w:rsid w:val="00B718B7"/>
    <w:rsid w:val="00B754CA"/>
    <w:rsid w:val="00BA675E"/>
    <w:rsid w:val="00BB09CC"/>
    <w:rsid w:val="00BE13DB"/>
    <w:rsid w:val="00C00A30"/>
    <w:rsid w:val="00C0126C"/>
    <w:rsid w:val="00C237ED"/>
    <w:rsid w:val="00C24011"/>
    <w:rsid w:val="00C51DB6"/>
    <w:rsid w:val="00C762F7"/>
    <w:rsid w:val="00C7636B"/>
    <w:rsid w:val="00CC133B"/>
    <w:rsid w:val="00CE551F"/>
    <w:rsid w:val="00CF7D4E"/>
    <w:rsid w:val="00D01293"/>
    <w:rsid w:val="00D44F90"/>
    <w:rsid w:val="00D91E38"/>
    <w:rsid w:val="00DA1D60"/>
    <w:rsid w:val="00DC158F"/>
    <w:rsid w:val="00E2161E"/>
    <w:rsid w:val="00E41448"/>
    <w:rsid w:val="00E41F27"/>
    <w:rsid w:val="00E42C9A"/>
    <w:rsid w:val="00E92C26"/>
    <w:rsid w:val="00EE11A6"/>
    <w:rsid w:val="00EF63D5"/>
    <w:rsid w:val="00F00FC2"/>
    <w:rsid w:val="00F155C9"/>
    <w:rsid w:val="00F45D28"/>
    <w:rsid w:val="00F7313E"/>
    <w:rsid w:val="00FA4467"/>
    <w:rsid w:val="00FA693B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A8267-C46B-40E9-9717-7E517ECD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2">
    <w:name w:val="Body Text 2"/>
    <w:basedOn w:val="a"/>
    <w:link w:val="20"/>
    <w:uiPriority w:val="99"/>
    <w:unhideWhenUsed/>
    <w:rsid w:val="007F06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0689"/>
    <w:rPr>
      <w:rFonts w:ascii="Times New Roman" w:eastAsia="Times New Roman" w:hAnsi="Times New Roman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7F06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F0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4D6A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8F4D6A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8F4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F4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D6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FA693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Орготдел</cp:lastModifiedBy>
  <cp:revision>23</cp:revision>
  <cp:lastPrinted>2022-02-18T00:37:00Z</cp:lastPrinted>
  <dcterms:created xsi:type="dcterms:W3CDTF">2021-12-06T07:46:00Z</dcterms:created>
  <dcterms:modified xsi:type="dcterms:W3CDTF">2022-02-28T22:31:00Z</dcterms:modified>
</cp:coreProperties>
</file>